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C" w:rsidRPr="00E75EB7" w:rsidRDefault="004000E9" w:rsidP="00E75EB7">
      <w:pPr>
        <w:spacing w:after="0" w:line="240" w:lineRule="auto"/>
        <w:jc w:val="center"/>
        <w:rPr>
          <w:sz w:val="24"/>
          <w:lang w:val="mn-MN"/>
        </w:rPr>
      </w:pPr>
      <w:r w:rsidRPr="00E75EB7">
        <w:rPr>
          <w:b/>
          <w:sz w:val="24"/>
          <w:lang w:val="mn-MN"/>
        </w:rPr>
        <w:t>Арга хэмжээний төлөвлөгөө</w:t>
      </w:r>
    </w:p>
    <w:p w:rsidR="00451C5C" w:rsidRPr="00E75EB7" w:rsidRDefault="004000E9" w:rsidP="00E75EB7">
      <w:pPr>
        <w:spacing w:after="0" w:line="240" w:lineRule="auto"/>
        <w:jc w:val="center"/>
        <w:rPr>
          <w:sz w:val="24"/>
          <w:lang w:val="mn-MN"/>
        </w:rPr>
      </w:pPr>
      <w:r w:rsidRPr="00E75EB7">
        <w:rPr>
          <w:b/>
          <w:sz w:val="24"/>
          <w:lang w:val="mn-MN"/>
        </w:rPr>
        <w:t>Баянговь сумын Засаг даргын Тамгын газар</w:t>
      </w:r>
    </w:p>
    <w:p w:rsidR="00451C5C" w:rsidRPr="00E75EB7" w:rsidRDefault="004000E9" w:rsidP="00E75EB7">
      <w:pPr>
        <w:spacing w:after="0" w:line="240" w:lineRule="auto"/>
        <w:jc w:val="center"/>
        <w:rPr>
          <w:b/>
          <w:sz w:val="24"/>
          <w:lang w:val="mn-MN"/>
        </w:rPr>
      </w:pPr>
      <w:r w:rsidRPr="00E75EB7">
        <w:rPr>
          <w:b/>
          <w:sz w:val="24"/>
          <w:lang w:val="mn-MN"/>
        </w:rPr>
        <w:t>2022 оны хагас жил</w:t>
      </w:r>
    </w:p>
    <w:p w:rsidR="00E75EB7" w:rsidRPr="00E75EB7" w:rsidRDefault="00E75EB7" w:rsidP="00E75EB7">
      <w:pPr>
        <w:spacing w:after="0" w:line="240" w:lineRule="auto"/>
        <w:jc w:val="both"/>
        <w:rPr>
          <w:lang w:val="mn-MN"/>
        </w:rPr>
      </w:pPr>
    </w:p>
    <w:tbl>
      <w:tblPr>
        <w:tblStyle w:val="ColspanRowspan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5203"/>
        <w:gridCol w:w="1325"/>
      </w:tblGrid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Д/д</w:t>
            </w:r>
          </w:p>
        </w:tc>
        <w:tc>
          <w:tcPr>
            <w:tcW w:w="21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Арга хэмжээ</w:t>
            </w:r>
          </w:p>
        </w:tc>
        <w:tc>
          <w:tcPr>
            <w:tcW w:w="5486" w:type="dxa"/>
            <w:gridSpan w:val="2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Хүрсэн түвшин, үр дүн</w:t>
            </w:r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Хэрэгжилтийн хувь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3" w:type="dxa"/>
            <w:gridSpan w:val="5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1. Хүний нөөцийг хөгжүүлэх, идэвхжүүлэх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1</w:t>
            </w:r>
          </w:p>
        </w:tc>
        <w:tc>
          <w:tcPr>
            <w:tcW w:w="2126" w:type="dxa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1. Засгийн газар, төрийн байгууллага, бусад байгууллагаас албан хаагчдын мэдлэг, мэргэжлийг дээшлүүлэх чиглэлээр зохион байгуулсан дотоод сургалт</w:t>
            </w:r>
          </w:p>
        </w:tc>
        <w:tc>
          <w:tcPr>
            <w:tcW w:w="5486" w:type="dxa"/>
            <w:gridSpan w:val="2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 xml:space="preserve">1.1. Семинар зөвлөгөөний тоо: Нийт 12 албан хаагч давхардсан тоогоор 21 удаагийн сургалтанд хамрагдсан. Тухай </w:t>
            </w:r>
            <w:r w:rsidRPr="00E75EB7">
              <w:rPr>
                <w:lang w:val="mn-MN"/>
              </w:rPr>
              <w:t>бүрт томилолт унааны зардлыг 100% бодож олгосон.  1.2. Ажлын байран дахь сургалт: 2022 онд бүх албан хаагчдыг чадвахжуулах ажлын байран дахь 15 сургалт зохион байгуулахаар төлөвлөгөө гарган сургалтыг хуваарийн дагуу зохион байгуулж байна. Одоогоор 7 удааги</w:t>
            </w:r>
            <w:r w:rsidRPr="00E75EB7">
              <w:rPr>
                <w:lang w:val="mn-MN"/>
              </w:rPr>
              <w:t>йн сургалт хийсэн.  1.3. Мэргэшүүлэх сургалт: Одоогоор мэргэшүүлэх сургалтанд хүн хамрагдаагүй байна. 1.4. Туршлага солилцох арга хэмжээ: Засаг даргын тамгын газрын дарга нарын туршлага судлах 4-н өдрийн сургалт Баянцагаан, сумд болж хамрагдсан.  1.5. Буса</w:t>
            </w:r>
            <w:r w:rsidRPr="00E75EB7">
              <w:rPr>
                <w:lang w:val="mn-MN"/>
              </w:rPr>
              <w:t>д: Сургалтын төлөвлөгөөнд ороогүй хэлтэс, төсөл хөтөлбөрийн сургалт цахим болон танхимаар зохион байгуулагдаж албан хаагчид хамрагдсан.  2.1. Хамрагдсан нийт албан хаагчдын тоо: 1500 Давхардсан тоогоор төлөвлөлт 90 дээш хувь биелэсэн.  Эрэгтэй албан хаагч-</w:t>
            </w:r>
            <w:r w:rsidRPr="00E75EB7">
              <w:rPr>
                <w:lang w:val="mn-MN"/>
              </w:rPr>
              <w:t>750  Эмэгтэй албан хаагч-750  Удирдах албан тушаалтан-400 Гүйцэтгэх, туслах албан тушаалтан-1100 3.1. Албан хаагчдыг сургалтанд хамруулсан байдал: нийт албан хаагчдад эзлэх хувь 90-ээс дээш нь сургалтанд хамрагдсан.</w:t>
            </w:r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90%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2</w:t>
            </w:r>
          </w:p>
        </w:tc>
        <w:tc>
          <w:tcPr>
            <w:tcW w:w="2126" w:type="dxa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2. Албан хаагчдыг хөгжүүлэх, мэргэшүүлэх чиглэлээр байгууллагын болон зохион байгуулагч талын зардлаар хамруулсан гадаад сургалт</w:t>
            </w:r>
          </w:p>
        </w:tc>
        <w:tc>
          <w:tcPr>
            <w:tcW w:w="5486" w:type="dxa"/>
            <w:gridSpan w:val="2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Албан хаагчдыг хөгжүүлэх, мэргэшүүлэх чиглэлээр байгууллагын болон зохион байгуулагч талын зардлаар хамруулсан гадаад сургалт б</w:t>
            </w:r>
            <w:r w:rsidRPr="00E75EB7">
              <w:rPr>
                <w:lang w:val="mn-MN"/>
              </w:rPr>
              <w:t>айхгүй.</w:t>
            </w:r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100%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3</w:t>
            </w:r>
          </w:p>
        </w:tc>
        <w:tc>
          <w:tcPr>
            <w:tcW w:w="2126" w:type="dxa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3. Албан хаагчдыг хөгжүүлэх, мэргэшүүлэх чиглэлээр зарцуулсан зардал, албан хаагчдын шилжилт хөдөлгөөн</w:t>
            </w:r>
          </w:p>
        </w:tc>
        <w:tc>
          <w:tcPr>
            <w:tcW w:w="5486" w:type="dxa"/>
            <w:gridSpan w:val="2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3.1. Албан хаагчдыг сургалт, хөгжлийн үйл ажиллагаанд зарцуулсан зардлын хэмжээ- 21 албан хаагчийн 1.2 сая төгрөг зарцуулсан.  3.2. Албан</w:t>
            </w:r>
            <w:r w:rsidRPr="00E75EB7">
              <w:rPr>
                <w:lang w:val="mn-MN"/>
              </w:rPr>
              <w:t xml:space="preserve"> хаагчдын шилжилт хөдөлгөөний хувь-Санхүүгийн албаны дарга, Төрийн сангийн мэргэжилтэн, хөдөө аж ахуйн тасгийн мэргэжилтэн өөрийн хүсэлтээр өөр ажилд шилжсэн.</w:t>
            </w:r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100%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3" w:type="dxa"/>
            <w:gridSpan w:val="5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2. Албан хаагчдын нийгмийн баталгааг хангах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4</w:t>
            </w:r>
          </w:p>
        </w:tc>
        <w:tc>
          <w:tcPr>
            <w:tcW w:w="2409" w:type="dxa"/>
            <w:gridSpan w:val="2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4. Цалин хөлс, шагнал, урамшууллын тогтолцоо</w:t>
            </w:r>
            <w:r w:rsidRPr="00E75EB7">
              <w:rPr>
                <w:lang w:val="mn-MN"/>
              </w:rPr>
              <w:t>г хэрэгжүүлэх</w:t>
            </w:r>
          </w:p>
        </w:tc>
        <w:tc>
          <w:tcPr>
            <w:tcW w:w="5203" w:type="dxa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 xml:space="preserve">Цалин, шагнал, урамшуулалд зарцуулсан зардлын хэмжээ:- 2022 оны 21 албан хаагчдын 72,157,0 сая төгрөгийг цалин, зэрэг дэв, ажил хавсарсан, төрийн алба хаасан хугацааны, онцгой, ур чадвар, нууц, </w:t>
            </w:r>
            <w:r w:rsidRPr="00E75EB7">
              <w:rPr>
                <w:lang w:val="mn-MN"/>
              </w:rPr>
              <w:lastRenderedPageBreak/>
              <w:t>ХАСХОМ-ын нэмэгдлүүдээс бүрдсэн цалин олгоссон б</w:t>
            </w:r>
            <w:r w:rsidRPr="00E75EB7">
              <w:rPr>
                <w:lang w:val="mn-MN"/>
              </w:rPr>
              <w:t>айна.</w:t>
            </w:r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lastRenderedPageBreak/>
              <w:t>100%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lastRenderedPageBreak/>
              <w:t>5</w:t>
            </w:r>
          </w:p>
        </w:tc>
        <w:tc>
          <w:tcPr>
            <w:tcW w:w="2409" w:type="dxa"/>
            <w:gridSpan w:val="2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5. Албан хаагчдын ажлын байрны хэвийн нөхцөлийг бүрдүүлэх</w:t>
            </w:r>
          </w:p>
        </w:tc>
        <w:tc>
          <w:tcPr>
            <w:tcW w:w="5203" w:type="dxa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Гэрэл цахилгаан 2.4 сая ₮, бичиг хэрэг 1.2 сая ₮, тоног төхөөрөмж 1.0 сая ₮ зарцуулсан.</w:t>
            </w:r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100%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6</w:t>
            </w:r>
          </w:p>
        </w:tc>
        <w:tc>
          <w:tcPr>
            <w:tcW w:w="2409" w:type="dxa"/>
            <w:gridSpan w:val="2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6. Албан хаагчдын эрүүл мэндийг хамгаалах, урьдчилан сэргийлэх</w:t>
            </w:r>
          </w:p>
        </w:tc>
        <w:tc>
          <w:tcPr>
            <w:tcW w:w="5203" w:type="dxa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 xml:space="preserve">6.1. Эрүүл мэндийн урьдчилсан сэргийлэх үзлэг- 03 сард албан хаагчдыг нарийн мэргэжлийн эмчийн үзлэг дотор, эмэгтэйчүүдийн эхо, зүрхний бичлэг, зүрх уушиг, дотор, эмэгтэйчүүдийн үзлэгт албан хаагчдыг бүрэн хамруулсан. Байгууллагын үйлдвэрчний эвлэлээс 2.0 </w:t>
            </w:r>
            <w:r w:rsidRPr="00E75EB7">
              <w:rPr>
                <w:lang w:val="mn-MN"/>
              </w:rPr>
              <w:t>сая төгрөгийг зарцуулсан.  6.2. Албан хаагчдын хамрагдалт:- 90-ээс дээш хувь нь бүрэн хамрагдсан.</w:t>
            </w:r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90%</w:t>
            </w:r>
          </w:p>
        </w:tc>
      </w:tr>
      <w:tr w:rsidR="00451C5C" w:rsidRPr="00E75EB7" w:rsidTr="00E7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7</w:t>
            </w:r>
          </w:p>
        </w:tc>
        <w:tc>
          <w:tcPr>
            <w:tcW w:w="2409" w:type="dxa"/>
            <w:gridSpan w:val="2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7. Албан хаагчдыг нийгмийн баталгааг хангах чиглэлээр зарцуулсан зардал</w:t>
            </w:r>
          </w:p>
        </w:tc>
        <w:tc>
          <w:tcPr>
            <w:tcW w:w="5203" w:type="dxa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Албан хаагчдын нийгмийн асуудалд зарцуулсан зардлын хэмжээ:- Нийт 88.6 сая төгр</w:t>
            </w:r>
            <w:r w:rsidRPr="00E75EB7">
              <w:rPr>
                <w:lang w:val="mn-MN"/>
              </w:rPr>
              <w:t>өг</w:t>
            </w:r>
            <w:r w:rsidRPr="00E75EB7">
              <w:rPr>
                <w:lang w:val="mn-MN"/>
              </w:rPr>
              <w:t xml:space="preserve"> зарцуулсан байна.</w:t>
            </w:r>
            <w:bookmarkStart w:id="0" w:name="_GoBack"/>
            <w:bookmarkEnd w:id="0"/>
          </w:p>
        </w:tc>
        <w:tc>
          <w:tcPr>
            <w:tcW w:w="1325" w:type="dxa"/>
            <w:vAlign w:val="center"/>
          </w:tcPr>
          <w:p w:rsidR="00451C5C" w:rsidRPr="00E75EB7" w:rsidRDefault="004000E9" w:rsidP="00E75EB7">
            <w:pPr>
              <w:jc w:val="both"/>
              <w:rPr>
                <w:lang w:val="mn-MN"/>
              </w:rPr>
            </w:pPr>
            <w:r w:rsidRPr="00E75EB7">
              <w:rPr>
                <w:lang w:val="mn-MN"/>
              </w:rPr>
              <w:t>100%</w:t>
            </w:r>
          </w:p>
        </w:tc>
      </w:tr>
    </w:tbl>
    <w:p w:rsidR="004000E9" w:rsidRPr="00E75EB7" w:rsidRDefault="004000E9" w:rsidP="00E75EB7">
      <w:pPr>
        <w:jc w:val="both"/>
      </w:pPr>
    </w:p>
    <w:sectPr w:rsidR="004000E9" w:rsidRPr="00E75EB7" w:rsidSect="00E75EB7">
      <w:pgSz w:w="11907" w:h="16839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C5C"/>
    <w:rsid w:val="004000E9"/>
    <w:rsid w:val="00451C5C"/>
    <w:rsid w:val="00E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2748</Characters>
  <Application>Microsoft Office Word</Application>
  <DocSecurity>0</DocSecurity>
  <Lines>22</Lines>
  <Paragraphs>6</Paragraphs>
  <ScaleCrop>false</ScaleCrop>
  <Manager/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IT CENTER</cp:lastModifiedBy>
  <cp:revision>3</cp:revision>
  <dcterms:created xsi:type="dcterms:W3CDTF">2022-11-03T04:48:00Z</dcterms:created>
  <dcterms:modified xsi:type="dcterms:W3CDTF">2022-11-03T04:53:00Z</dcterms:modified>
  <cp:category/>
</cp:coreProperties>
</file>